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訓練日期：2026/07/24~2026/07/24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訓練日期：2026/07/24~2026/07/24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2026/07/24~2026/07/24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1.具有管理師、管理員資格者或管理員、管理師、甲種業務主管、乙種業務主管、丙種業務主管等任一訓練之結業證書正本及影本1份、身分證正、反影本1份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