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訓練日期：2026/11/27~2026/11/27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2026/11/27~2026/11/27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1.具有營造業甲種業務主管、營造業乙種業務主管、營造業丙種業務主管等任一訓練之結業證書正本及影本1份、身分證正、反影本1份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