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職業安全管理師【43抵充班】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2026/05/09~2026/05/24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職業安全管理師【43抵充班】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2026/05/09~2026/05/24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2026/05/09~2026/05/24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2.危險性工作場所審查及檢查辦法
                <w:br/>
                3.營造安全衛生設施標準
                <w:br/>
                4.高壓氣體勞工安全規則
                <w:br/>
                5.危險性機械及設備安全檢查規則
                <w:br/>
                6.危害性化學品標示及通識規則
                <w:br/>
                7.具有危險性之機械及設備安全相關法規
                <w:br/>
                8.機械設備器具安全標準
                <w:br/>
                9.製程安全評估定期實施辦法
                <w:br/>
                10.職業安全進階導論
                <w:br/>
                11.工作場所設計與佈置
                <w:br/>
                12.系統安全與失控反應控制
                <w:br/>
                13.損失控制與風險管理
                <w:br/>
                14.危害性化學品危害及評估管理
                <w:br/>
                15.人因工程
                <w:br/>
                16.勞動生理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相片3張(1吋)、身分證正、反面影本一份、職業安全衛生管理員期滿證明影本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10,000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