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課程名稱：ISO 45001:2018系統運作 實務訓練課程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課程名稱：ISO 45001:2018系統運作 實務訓練課程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/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2.ISO 管理系統標準變革與新趨勢
                <w:br/>
                3.條文說明第一章節及演練
                <w:br/>
                4.條文說明第二章節及演練
                <w:br/>
                5.條文說明第三章節及演練
                <w:br/>
                6.條文說明第四章節及演練
                <w:br/>
                7.條文說明第五章節及演練
                <w:br/>
                8.條文說明第六章節及演練
                <w:br/>
                9.條文說明第七章節及演練
                <w:br/>
                10.條文說明第八章節及演練
                <w:br/>
                11.條文說明第九章節及演練
                <w:br/>
                12.條文說明第十章節及演練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1.無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12,000元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